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8807D1F"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9756EB" w:rsidRPr="009756EB">
        <w:rPr>
          <w:bCs/>
          <w:noProof w:val="0"/>
          <w:sz w:val="24"/>
          <w:szCs w:val="24"/>
        </w:rPr>
        <w:t>R3-180526</w:t>
      </w:r>
    </w:p>
    <w:p w14:paraId="231362B2" w14:textId="047735D5" w:rsidR="00CD4C7B" w:rsidRPr="00B266B0" w:rsidRDefault="009462E6" w:rsidP="00CD4C7B">
      <w:pPr>
        <w:pStyle w:val="Header"/>
        <w:tabs>
          <w:tab w:val="right" w:pos="9639"/>
        </w:tabs>
        <w:rPr>
          <w:bCs/>
          <w:noProof w:val="0"/>
          <w:sz w:val="24"/>
          <w:szCs w:val="24"/>
        </w:rPr>
      </w:pPr>
      <w:r>
        <w:rPr>
          <w:rFonts w:eastAsia="SimSun"/>
          <w:noProof w:val="0"/>
          <w:sz w:val="24"/>
          <w:szCs w:val="24"/>
          <w:lang w:eastAsia="zh-CN"/>
        </w:rPr>
        <w:t>Sophia Antipolis</w:t>
      </w:r>
      <w:r w:rsidR="00C24650" w:rsidRPr="00C24650">
        <w:rPr>
          <w:rFonts w:eastAsia="SimSun"/>
          <w:noProof w:val="0"/>
          <w:sz w:val="24"/>
          <w:szCs w:val="24"/>
          <w:lang w:eastAsia="zh-CN"/>
        </w:rPr>
        <w:t xml:space="preserve">, </w:t>
      </w:r>
      <w:r>
        <w:rPr>
          <w:rFonts w:eastAsia="SimSun"/>
          <w:noProof w:val="0"/>
          <w:sz w:val="24"/>
          <w:szCs w:val="24"/>
          <w:lang w:eastAsia="zh-CN"/>
        </w:rPr>
        <w:t>France, EU</w:t>
      </w:r>
      <w:r w:rsidR="00C24650" w:rsidRPr="00C24650">
        <w:rPr>
          <w:rFonts w:eastAsia="SimSun"/>
          <w:noProof w:val="0"/>
          <w:sz w:val="24"/>
          <w:szCs w:val="24"/>
          <w:lang w:eastAsia="zh-CN"/>
        </w:rPr>
        <w:t xml:space="preserve">, </w:t>
      </w:r>
      <w:r w:rsidR="00FE251B">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770FA8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56EB">
        <w:rPr>
          <w:rFonts w:cs="Arial"/>
          <w:b/>
          <w:bCs/>
          <w:sz w:val="24"/>
          <w:lang w:eastAsia="ja-JP"/>
        </w:rPr>
        <w:t>31.3.1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A11087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r w:rsidR="009756EB">
        <w:rPr>
          <w:rFonts w:ascii="Arial" w:hAnsi="Arial" w:cs="Arial"/>
          <w:b/>
          <w:bCs/>
          <w:sz w:val="24"/>
        </w:rPr>
        <w:t>Way forward for the UE-AMBR for EN-DC</w:t>
      </w:r>
      <w:bookmarkEnd w:id="0"/>
    </w:p>
    <w:p w14:paraId="7DF86DB4" w14:textId="2FEE6AB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756EB">
        <w:rPr>
          <w:rFonts w:ascii="Arial" w:hAnsi="Arial" w:cs="Arial"/>
          <w:b/>
          <w:bCs/>
          <w:sz w:val="24"/>
        </w:rPr>
        <w:t>Endorsement</w:t>
      </w:r>
    </w:p>
    <w:p w14:paraId="2712576F" w14:textId="77777777" w:rsidR="009462E6" w:rsidRPr="00B266B0" w:rsidRDefault="009462E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BBDFC0A" w14:textId="42519ACE" w:rsidR="00CD4C7B" w:rsidRDefault="009756EB" w:rsidP="00CD4C7B">
      <w:pPr>
        <w:rPr>
          <w:lang w:val="en-US"/>
        </w:rPr>
      </w:pPr>
      <w:r>
        <w:rPr>
          <w:lang w:val="en-US"/>
        </w:rPr>
        <w:t>At RAN3 #98 meeting, it was decided to reuse the LTE DC solution for UE-AMBR in EN-DC. However, at the #AH-1801 meeting, two issues were identified:</w:t>
      </w:r>
    </w:p>
    <w:p w14:paraId="4FACA235" w14:textId="56A88A26" w:rsidR="009756EB" w:rsidRDefault="009756EB" w:rsidP="009756EB">
      <w:pPr>
        <w:pStyle w:val="ListParagraph"/>
        <w:numPr>
          <w:ilvl w:val="0"/>
          <w:numId w:val="20"/>
        </w:numPr>
        <w:rPr>
          <w:lang w:val="en-US"/>
        </w:rPr>
      </w:pPr>
      <w:r>
        <w:rPr>
          <w:lang w:val="en-US"/>
        </w:rPr>
        <w:t>The AMBR informati</w:t>
      </w:r>
      <w:r w:rsidR="009C1F2D">
        <w:rPr>
          <w:lang w:val="en-US"/>
        </w:rPr>
        <w:t>on provided over X2AP to the S</w:t>
      </w:r>
      <w:r>
        <w:rPr>
          <w:lang w:val="en-US"/>
        </w:rPr>
        <w:t xml:space="preserve">gNB can not be </w:t>
      </w:r>
      <w:r w:rsidR="009C1F2D">
        <w:rPr>
          <w:lang w:val="en-US"/>
        </w:rPr>
        <w:t>used for UL control, if the S</w:t>
      </w:r>
      <w:r>
        <w:rPr>
          <w:lang w:val="en-US"/>
        </w:rPr>
        <w:t>gNB is split into CU and DU.</w:t>
      </w:r>
    </w:p>
    <w:p w14:paraId="3FA112EE" w14:textId="6E5A845D" w:rsidR="009756EB" w:rsidRPr="009756EB" w:rsidRDefault="009756EB" w:rsidP="009756EB">
      <w:pPr>
        <w:pStyle w:val="ListParagraph"/>
        <w:numPr>
          <w:ilvl w:val="0"/>
          <w:numId w:val="20"/>
        </w:numPr>
        <w:rPr>
          <w:lang w:val="en-US"/>
        </w:rPr>
      </w:pPr>
      <w:r>
        <w:rPr>
          <w:lang w:val="en-US"/>
        </w:rPr>
        <w:t xml:space="preserve">The inherent feature of EN-DC, i.e. operation over two different RATs, may lead to the need of dynamic balancing between the MCG and SCG parts of the connection. Having fixed threshold for each </w:t>
      </w:r>
      <w:r w:rsidR="00D33984">
        <w:rPr>
          <w:lang w:val="en-US"/>
        </w:rPr>
        <w:t xml:space="preserve">RAN node </w:t>
      </w:r>
      <w:r>
        <w:rPr>
          <w:lang w:val="en-US"/>
        </w:rPr>
        <w:t>limits the possibility for effective usage of full AMBR.</w:t>
      </w:r>
    </w:p>
    <w:p w14:paraId="5E65A125" w14:textId="10D7F40B" w:rsidR="0080544F" w:rsidRPr="004270A2" w:rsidRDefault="0080544F" w:rsidP="00CD4C7B">
      <w:pPr>
        <w:rPr>
          <w:lang w:val="en-US"/>
        </w:rPr>
      </w:pPr>
      <w:r>
        <w:rPr>
          <w:lang w:val="en-US"/>
        </w:rPr>
        <w:t xml:space="preserve">In this paper, </w:t>
      </w:r>
      <w:r w:rsidR="009756EB">
        <w:rPr>
          <w:lang w:val="en-US"/>
        </w:rPr>
        <w:t>the</w:t>
      </w:r>
      <w:r>
        <w:rPr>
          <w:lang w:val="en-US"/>
        </w:rPr>
        <w:t xml:space="preserve"> way forward</w:t>
      </w:r>
      <w:r w:rsidR="009756EB">
        <w:rPr>
          <w:lang w:val="en-US"/>
        </w:rPr>
        <w:t xml:space="preserve"> to resolve the above problems is proposed</w:t>
      </w:r>
      <w:r>
        <w:rPr>
          <w:lang w:val="en-US"/>
        </w:rPr>
        <w:t>.</w:t>
      </w:r>
    </w:p>
    <w:p w14:paraId="6BE377D2" w14:textId="4B775CD1" w:rsidR="00E65CE2" w:rsidRDefault="00CD4C7B" w:rsidP="00CD4C7B">
      <w:pPr>
        <w:pStyle w:val="Heading1"/>
        <w:rPr>
          <w:lang w:val="en-US"/>
        </w:rPr>
      </w:pPr>
      <w:r w:rsidRPr="00FE216B">
        <w:rPr>
          <w:lang w:val="en-US"/>
        </w:rPr>
        <w:t>2</w:t>
      </w:r>
      <w:r w:rsidRPr="00FE216B">
        <w:rPr>
          <w:lang w:val="en-US"/>
        </w:rPr>
        <w:tab/>
      </w:r>
      <w:r w:rsidR="00E65CE2">
        <w:rPr>
          <w:lang w:val="en-US"/>
        </w:rPr>
        <w:t>Discussion</w:t>
      </w:r>
    </w:p>
    <w:p w14:paraId="127ACA6D" w14:textId="6F8FE6E7" w:rsidR="00CD4C7B" w:rsidRDefault="00E65CE2" w:rsidP="00E65CE2">
      <w:pPr>
        <w:pStyle w:val="Heading2"/>
        <w:rPr>
          <w:lang w:val="en-US"/>
        </w:rPr>
      </w:pPr>
      <w:r>
        <w:rPr>
          <w:lang w:val="en-US"/>
        </w:rPr>
        <w:t>2.1</w:t>
      </w:r>
      <w:r>
        <w:rPr>
          <w:lang w:val="en-US"/>
        </w:rPr>
        <w:tab/>
      </w:r>
      <w:r w:rsidR="009756EB">
        <w:rPr>
          <w:lang w:val="en-US"/>
        </w:rPr>
        <w:t>Discussed solutions</w:t>
      </w:r>
    </w:p>
    <w:p w14:paraId="219D7157" w14:textId="096EE498" w:rsidR="00525FC4" w:rsidRDefault="00525FC4" w:rsidP="00525FC4">
      <w:r>
        <w:rPr>
          <w:b/>
        </w:rPr>
        <w:t>Solution</w:t>
      </w:r>
      <w:r w:rsidRPr="00525FC4">
        <w:rPr>
          <w:b/>
        </w:rPr>
        <w:t xml:space="preserve"> 1</w:t>
      </w:r>
      <w:r>
        <w:t>: UL AMBR is split between MN (MeNB) and SN (SgNB) so that each portion applies to the aggregate of bearers served by MN or SN low layers.</w:t>
      </w:r>
    </w:p>
    <w:p w14:paraId="3A002592" w14:textId="7E4450AD" w:rsidR="00525FC4" w:rsidRDefault="00525FC4" w:rsidP="00525FC4">
      <w:pPr>
        <w:numPr>
          <w:ilvl w:val="0"/>
          <w:numId w:val="21"/>
        </w:numPr>
        <w:spacing w:after="0"/>
      </w:pPr>
      <w:r>
        <w:t xml:space="preserve">MeNB: In this approach the MeNB has inherently knowledge of the aggregate bit rate served by its low layers (as an eNB is not split). </w:t>
      </w:r>
    </w:p>
    <w:p w14:paraId="32AE2CA1" w14:textId="40DE83B5" w:rsidR="00525FC4" w:rsidRDefault="00BE225C" w:rsidP="00525FC4">
      <w:pPr>
        <w:numPr>
          <w:ilvl w:val="1"/>
          <w:numId w:val="21"/>
        </w:numPr>
        <w:spacing w:after="0"/>
      </w:pPr>
      <w:r>
        <w:t>If</w:t>
      </w:r>
      <w:r w:rsidR="00525FC4">
        <w:t xml:space="preserve"> the MeNB detects breach of its portion of UE AMBR, MeNB can limit UL resource allocation via its own scheduler’s policy.</w:t>
      </w:r>
    </w:p>
    <w:p w14:paraId="5EF2E71E" w14:textId="22806029" w:rsidR="00525FC4" w:rsidRDefault="00525FC4" w:rsidP="00525FC4">
      <w:pPr>
        <w:numPr>
          <w:ilvl w:val="0"/>
          <w:numId w:val="21"/>
        </w:numPr>
        <w:spacing w:after="0"/>
      </w:pPr>
      <w:r>
        <w:t xml:space="preserve">SgNB: In this approach the SgNB-CU needs to acquire information from </w:t>
      </w:r>
      <w:r w:rsidR="00F27D5D">
        <w:t xml:space="preserve">the </w:t>
      </w:r>
      <w:r>
        <w:t xml:space="preserve">SgNB-DU about the served UL throughput for the UE </w:t>
      </w:r>
    </w:p>
    <w:p w14:paraId="27994071" w14:textId="3B9D7B73" w:rsidR="00525FC4" w:rsidRDefault="00525FC4" w:rsidP="00525FC4">
      <w:pPr>
        <w:numPr>
          <w:ilvl w:val="1"/>
          <w:numId w:val="21"/>
        </w:numPr>
        <w:spacing w:after="0"/>
      </w:pPr>
      <w:r>
        <w:t>SgNB-DU</w:t>
      </w:r>
      <w:r w:rsidR="00D33984">
        <w:t xml:space="preserve"> </w:t>
      </w:r>
      <w:r>
        <w:t>signal</w:t>
      </w:r>
      <w:r w:rsidR="003100A6">
        <w:t>s</w:t>
      </w:r>
      <w:r>
        <w:t xml:space="preserve"> to SgNB-CU </w:t>
      </w:r>
      <w:r w:rsidR="003100A6">
        <w:t xml:space="preserve">its </w:t>
      </w:r>
      <w:r>
        <w:t>share of UL throughout served for the UE</w:t>
      </w:r>
      <w:r w:rsidR="00065075">
        <w:t>, either periodically or based on a pre-set threshold</w:t>
      </w:r>
      <w:r w:rsidR="00F27D5D">
        <w:t xml:space="preserve"> (if UP is not connected to the SgNB)</w:t>
      </w:r>
      <w:r>
        <w:t>.</w:t>
      </w:r>
    </w:p>
    <w:p w14:paraId="3D4A0106" w14:textId="77777777" w:rsidR="00525FC4" w:rsidRDefault="00525FC4" w:rsidP="00525FC4">
      <w:pPr>
        <w:numPr>
          <w:ilvl w:val="1"/>
          <w:numId w:val="21"/>
        </w:numPr>
        <w:spacing w:after="0"/>
      </w:pPr>
      <w:r>
        <w:t>SgNB-CU checks that the aggregated throughput is within the portion of UL AMBR allocated to SgNB</w:t>
      </w:r>
    </w:p>
    <w:p w14:paraId="3D8DB7EC" w14:textId="38F480E0" w:rsidR="00127245" w:rsidRDefault="00525FC4" w:rsidP="00127245">
      <w:pPr>
        <w:numPr>
          <w:ilvl w:val="1"/>
          <w:numId w:val="21"/>
        </w:numPr>
        <w:spacing w:after="0"/>
      </w:pPr>
      <w:r>
        <w:t>If the aggregate throughput breaches the portion of UL AMBR allocated to SgNB, SgNB-CU signals to one or more SgNB-DU to limit UL throughput to a given limit. The latter ensures that the UE UL throughput is within enabled limits</w:t>
      </w:r>
    </w:p>
    <w:p w14:paraId="56B4F35F" w14:textId="5B37020D" w:rsidR="00A90BE8" w:rsidRPr="00BE225C" w:rsidRDefault="00A90BE8" w:rsidP="00525FC4"/>
    <w:p w14:paraId="0930A2C4" w14:textId="336F9577" w:rsidR="00525FC4" w:rsidRDefault="00525FC4" w:rsidP="00525FC4">
      <w:r>
        <w:rPr>
          <w:b/>
        </w:rPr>
        <w:t>Solution</w:t>
      </w:r>
      <w:r w:rsidRPr="00525FC4">
        <w:rPr>
          <w:b/>
        </w:rPr>
        <w:t xml:space="preserve"> 2</w:t>
      </w:r>
      <w:r>
        <w:t>: UL AMBR is split between MN (MeNB) PDCP and SN (SgNB) PDCP so that each portion applies to the aggregate of bearers served by MN PDCP or SN PDCP.</w:t>
      </w:r>
    </w:p>
    <w:p w14:paraId="29E0F72C" w14:textId="77777777" w:rsidR="00525FC4" w:rsidRDefault="00525FC4" w:rsidP="00525FC4">
      <w:pPr>
        <w:numPr>
          <w:ilvl w:val="0"/>
          <w:numId w:val="21"/>
        </w:numPr>
        <w:spacing w:after="0"/>
      </w:pPr>
      <w:r>
        <w:t xml:space="preserve">MeNB: In this approach the MeNB has inherently knowledge of the aggregate bit rate monitored at its PDCP </w:t>
      </w:r>
    </w:p>
    <w:p w14:paraId="36770EC7" w14:textId="77777777" w:rsidR="00525FC4" w:rsidRDefault="00525FC4" w:rsidP="00525FC4">
      <w:pPr>
        <w:numPr>
          <w:ilvl w:val="1"/>
          <w:numId w:val="21"/>
        </w:numPr>
        <w:spacing w:after="0"/>
      </w:pPr>
      <w:r>
        <w:t xml:space="preserve">If the MeNB detects breach of its portion of UE AMBR, MeNB can limit UL resource allocation via its own scheduler’s policy and it can signal over X2 an indication to SgNB to limit UL Throughput to a given value </w:t>
      </w:r>
      <w:r>
        <w:rPr>
          <w:i/>
          <w:iCs/>
        </w:rPr>
        <w:t xml:space="preserve">X </w:t>
      </w:r>
      <w:r>
        <w:t xml:space="preserve">for the affected UE </w:t>
      </w:r>
    </w:p>
    <w:p w14:paraId="29F641B9" w14:textId="77777777" w:rsidR="007F6013" w:rsidRDefault="007F6013" w:rsidP="007F6013">
      <w:pPr>
        <w:numPr>
          <w:ilvl w:val="2"/>
          <w:numId w:val="21"/>
        </w:numPr>
        <w:spacing w:after="0"/>
      </w:pPr>
      <w:r>
        <w:t>If the signalling is done over UP, then it may be delivered directly to the SgNB-DU;</w:t>
      </w:r>
    </w:p>
    <w:p w14:paraId="107EC030" w14:textId="57744915" w:rsidR="00525FC4" w:rsidRDefault="007F6013" w:rsidP="00525FC4">
      <w:pPr>
        <w:numPr>
          <w:ilvl w:val="2"/>
          <w:numId w:val="21"/>
        </w:numPr>
        <w:spacing w:after="0"/>
      </w:pPr>
      <w:r>
        <w:t>If the signalling is done over CP, then o</w:t>
      </w:r>
      <w:r w:rsidR="00525FC4">
        <w:t>nce receiving the indication, SgNB-CU signals to one or more SgNB-DU to limit UL throughput to a given limit</w:t>
      </w:r>
      <w:r>
        <w:t>;</w:t>
      </w:r>
    </w:p>
    <w:p w14:paraId="699FA762" w14:textId="77777777" w:rsidR="00525FC4" w:rsidRDefault="00525FC4" w:rsidP="00525FC4">
      <w:pPr>
        <w:numPr>
          <w:ilvl w:val="0"/>
          <w:numId w:val="21"/>
        </w:numPr>
        <w:spacing w:after="0"/>
      </w:pPr>
      <w:r>
        <w:lastRenderedPageBreak/>
        <w:t xml:space="preserve">SgNB: In this approach the SgNB-CU has inherently knowledge of the aggregate bit rate monitored at its PDCP </w:t>
      </w:r>
    </w:p>
    <w:p w14:paraId="2CE5526A" w14:textId="77777777" w:rsidR="00525FC4" w:rsidRDefault="00525FC4" w:rsidP="00525FC4">
      <w:pPr>
        <w:numPr>
          <w:ilvl w:val="1"/>
          <w:numId w:val="21"/>
        </w:numPr>
        <w:spacing w:after="0"/>
      </w:pPr>
      <w:r>
        <w:t>If the SgNB detects breach of its portion of UE UL AMBR, SgNB can limit UL resource allocation via signalling to SgNB DUs to limit UL throughput to a given limit</w:t>
      </w:r>
    </w:p>
    <w:p w14:paraId="749770FD" w14:textId="67441B37" w:rsidR="00525FC4" w:rsidRDefault="00525FC4" w:rsidP="00525FC4">
      <w:pPr>
        <w:numPr>
          <w:ilvl w:val="1"/>
          <w:numId w:val="21"/>
        </w:numPr>
        <w:spacing w:after="0"/>
      </w:pPr>
      <w:r>
        <w:t xml:space="preserve">SgNB also signals over X2 an indication to MeNB to limit UL Throughput to a given value </w:t>
      </w:r>
      <w:r>
        <w:rPr>
          <w:i/>
          <w:iCs/>
        </w:rPr>
        <w:t xml:space="preserve">X </w:t>
      </w:r>
      <w:r>
        <w:t>for the affected UE</w:t>
      </w:r>
    </w:p>
    <w:p w14:paraId="7E9A2A05" w14:textId="62E0EE92" w:rsidR="009756EB" w:rsidRDefault="009756EB" w:rsidP="009756EB"/>
    <w:p w14:paraId="43A12B72" w14:textId="63FA1D98" w:rsidR="00CD4C7B" w:rsidRPr="005B7F5E" w:rsidRDefault="00B165B3" w:rsidP="00CD4C7B">
      <w:pPr>
        <w:pStyle w:val="Heading1"/>
        <w:rPr>
          <w:lang w:val="en-US"/>
        </w:rPr>
      </w:pPr>
      <w:r>
        <w:rPr>
          <w:lang w:val="en-US"/>
        </w:rPr>
        <w:t>3</w:t>
      </w:r>
      <w:r w:rsidR="00CD4C7B" w:rsidRPr="005B7F5E">
        <w:rPr>
          <w:lang w:val="en-US"/>
        </w:rPr>
        <w:tab/>
      </w:r>
      <w:r w:rsidR="00671651" w:rsidRPr="005B7F5E">
        <w:rPr>
          <w:lang w:val="en-US"/>
        </w:rPr>
        <w:t>Conclusions</w:t>
      </w:r>
    </w:p>
    <w:p w14:paraId="5B78E3AA" w14:textId="1AA12B89" w:rsidR="00B165B3" w:rsidRPr="00CD4C7B" w:rsidRDefault="00B165B3" w:rsidP="00B165B3">
      <w:r>
        <w:t>At this moment, RAN3 is not yet able to conclude on the solution. However, RAN3 acknowledges that the current UE-AMBR mechanism for EN-DC is incomplete. Decision on the solution to adopt will be made later.</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D6D1D" w14:textId="77777777" w:rsidR="001473CC" w:rsidRDefault="001473CC">
      <w:r>
        <w:separator/>
      </w:r>
    </w:p>
  </w:endnote>
  <w:endnote w:type="continuationSeparator" w:id="0">
    <w:p w14:paraId="65A816D6" w14:textId="77777777" w:rsidR="001473CC" w:rsidRDefault="0014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BDCCA" w14:textId="77777777" w:rsidR="001473CC" w:rsidRDefault="001473CC">
      <w:r>
        <w:separator/>
      </w:r>
    </w:p>
  </w:footnote>
  <w:footnote w:type="continuationSeparator" w:id="0">
    <w:p w14:paraId="743A0D8E" w14:textId="77777777" w:rsidR="001473CC" w:rsidRDefault="00147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106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0CA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DA7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6AB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8E0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1CC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4A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3876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0CE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F6B3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E23393"/>
    <w:multiLevelType w:val="hybridMultilevel"/>
    <w:tmpl w:val="4178FDF6"/>
    <w:lvl w:ilvl="0" w:tplc="8408910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FD619F1"/>
    <w:multiLevelType w:val="hybridMultilevel"/>
    <w:tmpl w:val="8050E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575BAA"/>
    <w:multiLevelType w:val="hybridMultilevel"/>
    <w:tmpl w:val="A5D2E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1A387B"/>
    <w:multiLevelType w:val="hybridMultilevel"/>
    <w:tmpl w:val="19BCA7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6FE7213"/>
    <w:multiLevelType w:val="hybridMultilevel"/>
    <w:tmpl w:val="45E025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0431E3"/>
    <w:multiLevelType w:val="hybridMultilevel"/>
    <w:tmpl w:val="38022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BA779FB"/>
    <w:multiLevelType w:val="hybridMultilevel"/>
    <w:tmpl w:val="F0186336"/>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8"/>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 w:numId="19">
    <w:abstractNumId w:val="19"/>
  </w:num>
  <w:num w:numId="20">
    <w:abstractNumId w:val="1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5075"/>
    <w:rsid w:val="000731B2"/>
    <w:rsid w:val="00080512"/>
    <w:rsid w:val="00090468"/>
    <w:rsid w:val="000B7BCF"/>
    <w:rsid w:val="000C522B"/>
    <w:rsid w:val="000D58AB"/>
    <w:rsid w:val="00112F1A"/>
    <w:rsid w:val="00127245"/>
    <w:rsid w:val="00145075"/>
    <w:rsid w:val="001473CC"/>
    <w:rsid w:val="001741A0"/>
    <w:rsid w:val="00175FA0"/>
    <w:rsid w:val="00194CD0"/>
    <w:rsid w:val="001B49C9"/>
    <w:rsid w:val="001C4F79"/>
    <w:rsid w:val="001F168B"/>
    <w:rsid w:val="001F7831"/>
    <w:rsid w:val="002036CB"/>
    <w:rsid w:val="00204045"/>
    <w:rsid w:val="0020712B"/>
    <w:rsid w:val="0022606D"/>
    <w:rsid w:val="002747EC"/>
    <w:rsid w:val="002855BF"/>
    <w:rsid w:val="002B7F81"/>
    <w:rsid w:val="002D6CA5"/>
    <w:rsid w:val="002F0D22"/>
    <w:rsid w:val="003100A6"/>
    <w:rsid w:val="003172DC"/>
    <w:rsid w:val="00325AE3"/>
    <w:rsid w:val="00326069"/>
    <w:rsid w:val="0035462D"/>
    <w:rsid w:val="00355542"/>
    <w:rsid w:val="00364B41"/>
    <w:rsid w:val="003B40AD"/>
    <w:rsid w:val="003C4E37"/>
    <w:rsid w:val="003E16BE"/>
    <w:rsid w:val="004006E8"/>
    <w:rsid w:val="00401855"/>
    <w:rsid w:val="004270A2"/>
    <w:rsid w:val="00467072"/>
    <w:rsid w:val="00477455"/>
    <w:rsid w:val="004B2624"/>
    <w:rsid w:val="004C44D2"/>
    <w:rsid w:val="004D3578"/>
    <w:rsid w:val="004D380D"/>
    <w:rsid w:val="004E213A"/>
    <w:rsid w:val="00503171"/>
    <w:rsid w:val="00506C28"/>
    <w:rsid w:val="00525FC4"/>
    <w:rsid w:val="00534DA0"/>
    <w:rsid w:val="00543E6C"/>
    <w:rsid w:val="00565087"/>
    <w:rsid w:val="0056573F"/>
    <w:rsid w:val="005B7F5E"/>
    <w:rsid w:val="005E7186"/>
    <w:rsid w:val="00611566"/>
    <w:rsid w:val="00646D99"/>
    <w:rsid w:val="00656910"/>
    <w:rsid w:val="006660DF"/>
    <w:rsid w:val="00671651"/>
    <w:rsid w:val="006C66D8"/>
    <w:rsid w:val="006D1E24"/>
    <w:rsid w:val="006D64EB"/>
    <w:rsid w:val="006E1417"/>
    <w:rsid w:val="006F6A2C"/>
    <w:rsid w:val="00710201"/>
    <w:rsid w:val="007342B5"/>
    <w:rsid w:val="00734A5B"/>
    <w:rsid w:val="00744E76"/>
    <w:rsid w:val="00757D40"/>
    <w:rsid w:val="00781F0F"/>
    <w:rsid w:val="0078727C"/>
    <w:rsid w:val="0079049D"/>
    <w:rsid w:val="00792AF5"/>
    <w:rsid w:val="00793DC5"/>
    <w:rsid w:val="007B18D8"/>
    <w:rsid w:val="007B56C6"/>
    <w:rsid w:val="007C095F"/>
    <w:rsid w:val="007F6013"/>
    <w:rsid w:val="008028A4"/>
    <w:rsid w:val="0080544F"/>
    <w:rsid w:val="00813245"/>
    <w:rsid w:val="0087687B"/>
    <w:rsid w:val="008768CA"/>
    <w:rsid w:val="00877EF9"/>
    <w:rsid w:val="00880559"/>
    <w:rsid w:val="008935C9"/>
    <w:rsid w:val="00897E2E"/>
    <w:rsid w:val="008B5306"/>
    <w:rsid w:val="0090271F"/>
    <w:rsid w:val="00902DB9"/>
    <w:rsid w:val="0090466A"/>
    <w:rsid w:val="0091730A"/>
    <w:rsid w:val="00936071"/>
    <w:rsid w:val="0093779F"/>
    <w:rsid w:val="00940212"/>
    <w:rsid w:val="00942EC2"/>
    <w:rsid w:val="009462E6"/>
    <w:rsid w:val="00961B32"/>
    <w:rsid w:val="00970DB3"/>
    <w:rsid w:val="00974BB0"/>
    <w:rsid w:val="009756EB"/>
    <w:rsid w:val="0099295F"/>
    <w:rsid w:val="009A0AF3"/>
    <w:rsid w:val="009B07CD"/>
    <w:rsid w:val="009C19E9"/>
    <w:rsid w:val="009C1F2D"/>
    <w:rsid w:val="009D74A6"/>
    <w:rsid w:val="009E0043"/>
    <w:rsid w:val="00A10F02"/>
    <w:rsid w:val="00A14611"/>
    <w:rsid w:val="00A204CA"/>
    <w:rsid w:val="00A53724"/>
    <w:rsid w:val="00A82346"/>
    <w:rsid w:val="00A90BE8"/>
    <w:rsid w:val="00A9671C"/>
    <w:rsid w:val="00AA1553"/>
    <w:rsid w:val="00B15449"/>
    <w:rsid w:val="00B165B3"/>
    <w:rsid w:val="00B27303"/>
    <w:rsid w:val="00B4174F"/>
    <w:rsid w:val="00B47FD1"/>
    <w:rsid w:val="00B516BB"/>
    <w:rsid w:val="00BC3555"/>
    <w:rsid w:val="00BE225C"/>
    <w:rsid w:val="00C12B51"/>
    <w:rsid w:val="00C24650"/>
    <w:rsid w:val="00C33079"/>
    <w:rsid w:val="00C83A13"/>
    <w:rsid w:val="00C9068C"/>
    <w:rsid w:val="00C92967"/>
    <w:rsid w:val="00CA3D0C"/>
    <w:rsid w:val="00CA44A0"/>
    <w:rsid w:val="00CA654B"/>
    <w:rsid w:val="00CD4C7B"/>
    <w:rsid w:val="00D33984"/>
    <w:rsid w:val="00D3792D"/>
    <w:rsid w:val="00D55E47"/>
    <w:rsid w:val="00D624C1"/>
    <w:rsid w:val="00D62E19"/>
    <w:rsid w:val="00D738D6"/>
    <w:rsid w:val="00D80795"/>
    <w:rsid w:val="00D854BE"/>
    <w:rsid w:val="00D87E00"/>
    <w:rsid w:val="00D9134D"/>
    <w:rsid w:val="00D96D11"/>
    <w:rsid w:val="00DA7A03"/>
    <w:rsid w:val="00DB1818"/>
    <w:rsid w:val="00DB65A7"/>
    <w:rsid w:val="00DB7797"/>
    <w:rsid w:val="00DC309B"/>
    <w:rsid w:val="00DC4DA2"/>
    <w:rsid w:val="00E0571B"/>
    <w:rsid w:val="00E62835"/>
    <w:rsid w:val="00E65CE2"/>
    <w:rsid w:val="00E77645"/>
    <w:rsid w:val="00E83697"/>
    <w:rsid w:val="00EC4A25"/>
    <w:rsid w:val="00F025A2"/>
    <w:rsid w:val="00F02E48"/>
    <w:rsid w:val="00F07388"/>
    <w:rsid w:val="00F2026E"/>
    <w:rsid w:val="00F2210A"/>
    <w:rsid w:val="00F27D5D"/>
    <w:rsid w:val="00F37743"/>
    <w:rsid w:val="00F54A3D"/>
    <w:rsid w:val="00F54CB0"/>
    <w:rsid w:val="00F653B8"/>
    <w:rsid w:val="00F71B89"/>
    <w:rsid w:val="00F7353C"/>
    <w:rsid w:val="00F76F8F"/>
    <w:rsid w:val="00FA1266"/>
    <w:rsid w:val="00FB36FA"/>
    <w:rsid w:val="00FC1192"/>
    <w:rsid w:val="00FE216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02E4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7687B"/>
    <w:pPr>
      <w:ind w:left="720"/>
      <w:contextualSpacing/>
    </w:pPr>
  </w:style>
  <w:style w:type="table" w:styleId="TableGrid">
    <w:name w:val="Table Grid"/>
    <w:basedOn w:val="TableNormal"/>
    <w:rsid w:val="00C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3984"/>
    <w:rPr>
      <w:sz w:val="16"/>
      <w:szCs w:val="16"/>
    </w:rPr>
  </w:style>
  <w:style w:type="paragraph" w:styleId="CommentText">
    <w:name w:val="annotation text"/>
    <w:basedOn w:val="Normal"/>
    <w:link w:val="CommentTextChar"/>
    <w:rsid w:val="00D33984"/>
  </w:style>
  <w:style w:type="character" w:customStyle="1" w:styleId="CommentTextChar">
    <w:name w:val="Comment Text Char"/>
    <w:basedOn w:val="DefaultParagraphFont"/>
    <w:link w:val="CommentText"/>
    <w:rsid w:val="00D33984"/>
    <w:rPr>
      <w:lang w:eastAsia="en-US"/>
    </w:rPr>
  </w:style>
  <w:style w:type="paragraph" w:styleId="CommentSubject">
    <w:name w:val="annotation subject"/>
    <w:basedOn w:val="CommentText"/>
    <w:next w:val="CommentText"/>
    <w:link w:val="CommentSubjectChar"/>
    <w:rsid w:val="00D33984"/>
    <w:rPr>
      <w:b/>
      <w:bCs/>
    </w:rPr>
  </w:style>
  <w:style w:type="character" w:customStyle="1" w:styleId="CommentSubjectChar">
    <w:name w:val="Comment Subject Char"/>
    <w:basedOn w:val="CommentTextChar"/>
    <w:link w:val="CommentSubject"/>
    <w:rsid w:val="00D339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977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5725976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28</TotalTime>
  <Pages>1</Pages>
  <Words>462</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 new AMBR solution for MR-DC</vt:lpstr>
    </vt:vector>
  </TitlesOfParts>
  <Company>Nokia Siemens Networks</Company>
  <LinksUpToDate>false</LinksUpToDate>
  <CharactersWithSpaces>3232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Way forward for the UE-AMBR for EN-DC</dc:title>
  <dc:subject>RAN3 #AH-1801</dc:subject>
  <dc:creator>Nokia</dc:creator>
  <cp:lastModifiedBy>Nokia</cp:lastModifiedBy>
  <cp:revision>9</cp:revision>
  <dcterms:created xsi:type="dcterms:W3CDTF">2018-01-23T18:10:00Z</dcterms:created>
  <dcterms:modified xsi:type="dcterms:W3CDTF">2018-01-26T07:30:00Z</dcterms:modified>
</cp:coreProperties>
</file>